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entury Gothic" w:cs="Century Gothic" w:eastAsia="Century Gothic" w:hAnsi="Century Gothic"/>
          <w:b w:val="1"/>
          <w:color w:val="547ac7"/>
          <w:sz w:val="34"/>
          <w:szCs w:val="34"/>
        </w:rPr>
      </w:pPr>
      <w:bookmarkStart w:colFirst="0" w:colLast="0" w:name="_3ibx3wa97ae6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800100</wp:posOffset>
            </wp:positionH>
            <wp:positionV relativeFrom="page">
              <wp:posOffset>1190625</wp:posOffset>
            </wp:positionV>
            <wp:extent cx="2984500" cy="98488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984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  <w:rtl w:val="0"/>
        </w:rPr>
        <w:t xml:space="preserve">Community Engagement Advisory Board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47ac7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  <w:rtl w:val="0"/>
        </w:rPr>
        <w:t xml:space="preserve">Proposal Form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47ac7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547ac7"/>
          <w:sz w:val="24"/>
          <w:szCs w:val="24"/>
          <w:u w:val="single"/>
          <w:rtl w:val="0"/>
        </w:rPr>
        <w:t xml:space="preserve">Instructions: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Per the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Governance Manual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proposal forms submitted will address significant gaps regarding feedback loops with data users, evidence-based decision making and analytical capacity, and equitable access to actionable information. Please note there should only be one proposal per form. 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Name: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Proposal Title</w:t>
      </w: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no more than 50 characters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checking this box, I understand that if a Data and Tools Advisory Board member sponsors my proposal, it will be considered as a submission from the Data and Tools Advisory Board member. </w:t>
      </w:r>
    </w:p>
    <w:p w:rsidR="00000000" w:rsidDel="00000000" w:rsidP="00000000" w:rsidRDefault="00000000" w:rsidRPr="00000000" w14:paraId="0000000D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Nature of Proposal: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Feedback loops with data users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Evidence-based decision making and analytical capacity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Equitable access to actionable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What action should be taken to address the issue?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Who could benefit from this action?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Who would implement this action?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How does the action relate to the mission and vision of C2C? 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Public Submission</w:t>
      <w:tab/>
      <w:tab/>
      <w:tab/>
      <w:tab/>
      <w:tab/>
      <w:tab/>
      <w:tab/>
      <w:tab/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Public Submission</w:t>
      <w:tab/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left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2c.ca.gov/wp-content/uploads/2025/03/2025-Governance-Manual.pdf" TargetMode="Externa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