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2010B" w14:textId="77777777" w:rsidR="00BC0C6D" w:rsidRPr="005D36A7" w:rsidRDefault="00000000" w:rsidP="005D36A7">
      <w:pPr>
        <w:pStyle w:val="Heading1"/>
      </w:pPr>
      <w:bookmarkStart w:id="0" w:name="_8hoxmx3h05ie" w:colFirst="0" w:colLast="0"/>
      <w:bookmarkEnd w:id="0"/>
      <w:r w:rsidRPr="005D36A7">
        <w:t>Lesson Plan Challenge Rubric</w:t>
      </w:r>
    </w:p>
    <w:p w14:paraId="536EFE07" w14:textId="77777777" w:rsidR="00BC0C6D" w:rsidRPr="005D36A7" w:rsidRDefault="00000000" w:rsidP="005D36A7">
      <w:pPr>
        <w:pStyle w:val="Heading2"/>
      </w:pPr>
      <w:r w:rsidRPr="005D36A7">
        <w:t>Grading Logistics</w:t>
      </w:r>
    </w:p>
    <w:p w14:paraId="6414361F" w14:textId="77777777" w:rsidR="00BC0C6D" w:rsidRPr="005D36A7" w:rsidRDefault="00000000" w:rsidP="005D36A7">
      <w:pPr>
        <w:pStyle w:val="Heading3"/>
      </w:pPr>
      <w:r w:rsidRPr="005D36A7">
        <w:t>Blind submissions: C2C staff will redact personal information and district/school/ names.</w:t>
      </w:r>
    </w:p>
    <w:p w14:paraId="766D2C75" w14:textId="77777777" w:rsidR="00BC0C6D" w:rsidRPr="005D36A7" w:rsidRDefault="00000000" w:rsidP="005D36A7">
      <w:pPr>
        <w:pStyle w:val="Heading3"/>
      </w:pPr>
      <w:r w:rsidRPr="005D36A7">
        <w:t>Reviewers: C2C Staff, C2C Advisory Board members.</w:t>
      </w:r>
    </w:p>
    <w:p w14:paraId="554F859B" w14:textId="77777777" w:rsidR="00BC0C6D" w:rsidRPr="005D36A7" w:rsidRDefault="00000000" w:rsidP="005D36A7">
      <w:pPr>
        <w:pStyle w:val="Heading3"/>
      </w:pPr>
      <w:r w:rsidRPr="005D36A7">
        <w:t xml:space="preserve">Finalist: GB members will pick a finalist in the case there’s a tie. </w:t>
      </w:r>
    </w:p>
    <w:p w14:paraId="66C563F2" w14:textId="77777777" w:rsidR="00BC0C6D" w:rsidRDefault="00BC0C6D">
      <w:pPr>
        <w:rPr>
          <w:rFonts w:ascii="Century Gothic" w:eastAsia="Century Gothic" w:hAnsi="Century Gothic" w:cs="Century Gothic"/>
          <w:b/>
          <w:sz w:val="30"/>
          <w:szCs w:val="30"/>
        </w:rPr>
      </w:pPr>
    </w:p>
    <w:p w14:paraId="3D98368C" w14:textId="77777777" w:rsidR="00BC0C6D" w:rsidRPr="005D36A7" w:rsidRDefault="00000000" w:rsidP="005D36A7">
      <w:pPr>
        <w:pStyle w:val="Heading2"/>
      </w:pPr>
      <w:r w:rsidRPr="005D36A7">
        <w:t>Grading Categories</w:t>
      </w:r>
    </w:p>
    <w:p w14:paraId="13716776" w14:textId="77777777" w:rsidR="00BC0C6D" w:rsidRDefault="00000000" w:rsidP="005D36A7">
      <w:pPr>
        <w:pStyle w:val="Heading3"/>
      </w:pPr>
      <w:r>
        <w:rPr>
          <w:b/>
        </w:rPr>
        <w:t xml:space="preserve">Category 1: </w:t>
      </w:r>
      <w:r>
        <w:t xml:space="preserve">How </w:t>
      </w:r>
      <w:r w:rsidRPr="005D36A7">
        <w:t>effectively</w:t>
      </w:r>
      <w:r>
        <w:t xml:space="preserve"> does the lesson plan integrate the Student Pathways Dashboard into the lesson? </w:t>
      </w:r>
    </w:p>
    <w:p w14:paraId="009AE21A" w14:textId="77777777" w:rsidR="00BC0C6D" w:rsidRDefault="00000000" w:rsidP="005D36A7">
      <w:pPr>
        <w:pStyle w:val="Heading3"/>
      </w:pPr>
      <w:r>
        <w:rPr>
          <w:b/>
        </w:rPr>
        <w:t xml:space="preserve">Category 2: </w:t>
      </w:r>
      <w:r>
        <w:t xml:space="preserve">How does the lesson </w:t>
      </w:r>
      <w:r w:rsidRPr="005D36A7">
        <w:t>empower</w:t>
      </w:r>
      <w:r>
        <w:t xml:space="preserve"> diverse learners and/ or communities to see themselves in the data? How do they address data suppression and sensitivity? </w:t>
      </w:r>
    </w:p>
    <w:p w14:paraId="50E0B6D1" w14:textId="77777777" w:rsidR="00BC0C6D" w:rsidRDefault="00000000" w:rsidP="005D36A7">
      <w:pPr>
        <w:pStyle w:val="Heading3"/>
      </w:pPr>
      <w:r>
        <w:rPr>
          <w:b/>
        </w:rPr>
        <w:t>Category 3:</w:t>
      </w:r>
      <w:r>
        <w:t xml:space="preserve"> Are the objectives </w:t>
      </w:r>
      <w:r w:rsidRPr="005D36A7">
        <w:t>measurable</w:t>
      </w:r>
      <w:r>
        <w:t xml:space="preserve"> and inclusive of data literacy? Are there meaningful ways for students to engage? </w:t>
      </w:r>
    </w:p>
    <w:p w14:paraId="57D252AE" w14:textId="77777777" w:rsidR="00BC0C6D" w:rsidRDefault="00BC0C6D">
      <w:pPr>
        <w:rPr>
          <w:rFonts w:ascii="Century Gothic" w:eastAsia="Century Gothic" w:hAnsi="Century Gothic" w:cs="Century Gothic"/>
          <w:b/>
        </w:rPr>
      </w:pPr>
    </w:p>
    <w:p w14:paraId="3ABAD1F3" w14:textId="77777777" w:rsidR="00BC0C6D" w:rsidRDefault="00000000" w:rsidP="005D36A7">
      <w:pPr>
        <w:pStyle w:val="Heading2"/>
        <w:rPr>
          <w:color w:val="FF0000"/>
        </w:rPr>
      </w:pPr>
      <w:r w:rsidRPr="005D36A7">
        <w:t>Grading</w:t>
      </w:r>
      <w:r>
        <w:t xml:space="preserve"> Scale</w:t>
      </w:r>
    </w:p>
    <w:p w14:paraId="2C1530F8" w14:textId="77777777" w:rsidR="00BC0C6D" w:rsidRDefault="00000000" w:rsidP="005D36A7">
      <w:pPr>
        <w:pStyle w:val="Heading3"/>
      </w:pPr>
      <w:r>
        <w:rPr>
          <w:b/>
        </w:rPr>
        <w:t>Exemplary (3):</w:t>
      </w:r>
      <w:r>
        <w:t xml:space="preserve"> Lesson plan incorporates all the elements in the rubric.</w:t>
      </w:r>
    </w:p>
    <w:p w14:paraId="44045DD4" w14:textId="77777777" w:rsidR="00BC0C6D" w:rsidRDefault="00000000" w:rsidP="005D36A7">
      <w:pPr>
        <w:pStyle w:val="Heading3"/>
      </w:pPr>
      <w:r>
        <w:rPr>
          <w:b/>
        </w:rPr>
        <w:t xml:space="preserve">Proficient (2): </w:t>
      </w:r>
      <w:r>
        <w:t>Lesson plan incorporates most elements in rubric.</w:t>
      </w:r>
    </w:p>
    <w:p w14:paraId="76906FA5" w14:textId="77777777" w:rsidR="00BC0C6D" w:rsidRDefault="00000000" w:rsidP="005D36A7">
      <w:pPr>
        <w:pStyle w:val="Heading3"/>
      </w:pPr>
      <w:r>
        <w:rPr>
          <w:b/>
        </w:rPr>
        <w:t xml:space="preserve">Adequate (1): </w:t>
      </w:r>
      <w:r>
        <w:t xml:space="preserve">Lesson plan incorporates some </w:t>
      </w:r>
      <w:r w:rsidRPr="005D36A7">
        <w:t>elements</w:t>
      </w:r>
      <w:r>
        <w:t xml:space="preserve"> in rubric. </w:t>
      </w:r>
    </w:p>
    <w:p w14:paraId="1E1800C8" w14:textId="77777777" w:rsidR="00BC0C6D" w:rsidRDefault="00000000" w:rsidP="005D36A7">
      <w:pPr>
        <w:pStyle w:val="Heading3"/>
      </w:pPr>
      <w:r>
        <w:rPr>
          <w:b/>
        </w:rPr>
        <w:t>Insufficient (0):</w:t>
      </w:r>
      <w:r>
        <w:t xml:space="preserve"> Lesson plan does not </w:t>
      </w:r>
      <w:r w:rsidRPr="005D36A7">
        <w:t>include</w:t>
      </w:r>
      <w:r>
        <w:t xml:space="preserve"> elements. </w:t>
      </w:r>
    </w:p>
    <w:p w14:paraId="19E2CB74" w14:textId="77777777" w:rsidR="00BC0C6D" w:rsidRDefault="00BC0C6D">
      <w:pPr>
        <w:rPr>
          <w:rFonts w:ascii="Century Gothic" w:eastAsia="Century Gothic" w:hAnsi="Century Gothic" w:cs="Century Gothic"/>
        </w:rPr>
      </w:pPr>
    </w:p>
    <w:p w14:paraId="2CA3EFF7" w14:textId="77777777" w:rsidR="00BC0C6D" w:rsidRPr="005D36A7" w:rsidRDefault="00000000" w:rsidP="005D36A7">
      <w:pPr>
        <w:pStyle w:val="Heading2"/>
      </w:pPr>
      <w:r>
        <w:t xml:space="preserve">Total Score: 15 points </w:t>
      </w:r>
    </w:p>
    <w:p w14:paraId="2839B3DE" w14:textId="77777777" w:rsidR="00BC0C6D" w:rsidRDefault="00000000" w:rsidP="005D36A7">
      <w:pPr>
        <w:pStyle w:val="Heading2"/>
      </w:pPr>
      <w:r>
        <w:t xml:space="preserve">Extra Credit </w:t>
      </w:r>
      <w:r w:rsidRPr="005D36A7">
        <w:t>Opportunities</w:t>
      </w:r>
      <w:r>
        <w:t>:</w:t>
      </w:r>
    </w:p>
    <w:p w14:paraId="48B61D05" w14:textId="77777777" w:rsidR="00BC0C6D" w:rsidRDefault="00000000" w:rsidP="005D36A7">
      <w:pPr>
        <w:pStyle w:val="Heading3"/>
      </w:pPr>
      <w:r>
        <w:t xml:space="preserve">1 point per supplemental material </w:t>
      </w:r>
      <w:r w:rsidRPr="005D36A7">
        <w:t>provided</w:t>
      </w:r>
      <w:r>
        <w:t xml:space="preserve"> (PPT, handout, etc. that complements your lesson plan) </w:t>
      </w:r>
    </w:p>
    <w:p w14:paraId="0D842CB3" w14:textId="77777777" w:rsidR="00BC0C6D" w:rsidRDefault="00000000" w:rsidP="005D36A7">
      <w:pPr>
        <w:pStyle w:val="Heading3"/>
        <w:rPr>
          <w:b/>
        </w:rPr>
      </w:pPr>
      <w:r>
        <w:t xml:space="preserve">1 point per </w:t>
      </w:r>
      <w:r w:rsidRPr="005D36A7">
        <w:t>supplemental</w:t>
      </w:r>
      <w:r>
        <w:t xml:space="preserve"> question answered (4 total) </w:t>
      </w:r>
      <w:r>
        <w:br w:type="page"/>
      </w:r>
    </w:p>
    <w:p w14:paraId="22B38760" w14:textId="77777777" w:rsidR="00BC0C6D" w:rsidRPr="005D36A7" w:rsidRDefault="00000000" w:rsidP="005D36A7">
      <w:pPr>
        <w:pStyle w:val="Heading1"/>
      </w:pPr>
      <w:bookmarkStart w:id="1" w:name="_tw5wrm8b08wy" w:colFirst="0" w:colLast="0"/>
      <w:bookmarkEnd w:id="1"/>
      <w:r w:rsidRPr="005D36A7">
        <w:lastRenderedPageBreak/>
        <w:t xml:space="preserve">Scoring Rubric </w:t>
      </w:r>
    </w:p>
    <w:p w14:paraId="5C5D3821" w14:textId="77777777" w:rsidR="00BC0C6D" w:rsidRDefault="00BC0C6D">
      <w:pPr>
        <w:rPr>
          <w:rFonts w:ascii="Century Gothic" w:eastAsia="Century Gothic" w:hAnsi="Century Gothic" w:cs="Century Gothic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C0C6D" w14:paraId="3456ED4D" w14:textId="77777777">
        <w:trPr>
          <w:trHeight w:val="560"/>
        </w:trPr>
        <w:tc>
          <w:tcPr>
            <w:tcW w:w="9360" w:type="dxa"/>
            <w:gridSpan w:val="5"/>
          </w:tcPr>
          <w:p w14:paraId="7F3F240C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1. Integrating Student Pathways Dashboard</w:t>
            </w:r>
          </w:p>
        </w:tc>
      </w:tr>
      <w:tr w:rsidR="00BC0C6D" w14:paraId="3CE2FD6B" w14:textId="77777777">
        <w:trPr>
          <w:trHeight w:val="978"/>
        </w:trPr>
        <w:tc>
          <w:tcPr>
            <w:tcW w:w="1872" w:type="dxa"/>
          </w:tcPr>
          <w:p w14:paraId="05DA7014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Category </w:t>
            </w:r>
          </w:p>
        </w:tc>
        <w:tc>
          <w:tcPr>
            <w:tcW w:w="1872" w:type="dxa"/>
          </w:tcPr>
          <w:p w14:paraId="280A5F39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Exemplary</w:t>
            </w:r>
          </w:p>
          <w:p w14:paraId="30F3CAC6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(3)</w:t>
            </w:r>
          </w:p>
        </w:tc>
        <w:tc>
          <w:tcPr>
            <w:tcW w:w="1872" w:type="dxa"/>
          </w:tcPr>
          <w:p w14:paraId="13B6E932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Proficient</w:t>
            </w:r>
          </w:p>
          <w:p w14:paraId="6B1CDFC7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(2)</w:t>
            </w:r>
          </w:p>
        </w:tc>
        <w:tc>
          <w:tcPr>
            <w:tcW w:w="1872" w:type="dxa"/>
          </w:tcPr>
          <w:p w14:paraId="4DC1D379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Adequate </w:t>
            </w:r>
          </w:p>
          <w:p w14:paraId="1FDA9E4D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(1)</w:t>
            </w:r>
          </w:p>
        </w:tc>
        <w:tc>
          <w:tcPr>
            <w:tcW w:w="1872" w:type="dxa"/>
          </w:tcPr>
          <w:p w14:paraId="20F7C58B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Insufficient </w:t>
            </w:r>
          </w:p>
          <w:p w14:paraId="5C62299B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(0)</w:t>
            </w:r>
          </w:p>
        </w:tc>
      </w:tr>
      <w:tr w:rsidR="00BC0C6D" w14:paraId="42EED824" w14:textId="77777777">
        <w:trPr>
          <w:trHeight w:val="978"/>
        </w:trPr>
        <w:tc>
          <w:tcPr>
            <w:tcW w:w="1872" w:type="dxa"/>
          </w:tcPr>
          <w:p w14:paraId="6B20D11A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Creative Integration of Student Pathways Dashboard</w:t>
            </w:r>
          </w:p>
        </w:tc>
        <w:tc>
          <w:tcPr>
            <w:tcW w:w="1872" w:type="dxa"/>
          </w:tcPr>
          <w:p w14:paraId="6502CD7A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Incorporates many dashboard features* and/or dashboard resources* throughout the lesson plan.</w:t>
            </w:r>
          </w:p>
        </w:tc>
        <w:tc>
          <w:tcPr>
            <w:tcW w:w="1872" w:type="dxa"/>
          </w:tcPr>
          <w:p w14:paraId="3791A4E7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Integrates two dashboard features and/or dashboard resources.</w:t>
            </w:r>
          </w:p>
        </w:tc>
        <w:tc>
          <w:tcPr>
            <w:tcW w:w="1872" w:type="dxa"/>
          </w:tcPr>
          <w:p w14:paraId="696FF4C0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Incorporates at least one dashboard feature and/or dashboard resource.</w:t>
            </w:r>
          </w:p>
        </w:tc>
        <w:tc>
          <w:tcPr>
            <w:tcW w:w="1872" w:type="dxa"/>
          </w:tcPr>
          <w:p w14:paraId="070D6ADB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Doesn’t incorporate any dashboard feature and/or dashboard resources.</w:t>
            </w:r>
          </w:p>
          <w:p w14:paraId="28C905C3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BC0C6D" w14:paraId="24408E52" w14:textId="77777777">
        <w:trPr>
          <w:trHeight w:val="978"/>
        </w:trPr>
        <w:tc>
          <w:tcPr>
            <w:tcW w:w="1872" w:type="dxa"/>
          </w:tcPr>
          <w:p w14:paraId="5FE6AFCC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Student Engagement Opportunities </w:t>
            </w:r>
          </w:p>
        </w:tc>
        <w:tc>
          <w:tcPr>
            <w:tcW w:w="1872" w:type="dxa"/>
          </w:tcPr>
          <w:p w14:paraId="2FF31355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Includes open-ended discussion questions with two or more opportunities for students to engage with the dashboard.</w:t>
            </w:r>
          </w:p>
          <w:p w14:paraId="1B395EC6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872" w:type="dxa"/>
          </w:tcPr>
          <w:p w14:paraId="02F5A2EE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</w:rPr>
              <w:t>Discussion questions are open-ended, with one engagement opportunity.</w:t>
            </w:r>
            <w:r>
              <w:rPr>
                <w:rFonts w:ascii="Century Gothic" w:eastAsia="Century Gothic" w:hAnsi="Century Gothic" w:cs="Century Gothic"/>
                <w:color w:val="434343"/>
              </w:rPr>
              <w:t xml:space="preserve"> </w:t>
            </w:r>
          </w:p>
        </w:tc>
        <w:tc>
          <w:tcPr>
            <w:tcW w:w="1872" w:type="dxa"/>
          </w:tcPr>
          <w:p w14:paraId="24784580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Discussion questions only require yes/no responses from students, with no additional engagement opportunities.</w:t>
            </w:r>
          </w:p>
        </w:tc>
        <w:tc>
          <w:tcPr>
            <w:tcW w:w="1872" w:type="dxa"/>
          </w:tcPr>
          <w:p w14:paraId="350F0C74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Doesn’t engage students. </w:t>
            </w:r>
          </w:p>
          <w:p w14:paraId="1D5D9D87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B710049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924CBDC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3AD7A83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141A0EC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DC75374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2D95B30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78C164F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BC0C6D" w14:paraId="3E299C3E" w14:textId="77777777">
        <w:trPr>
          <w:trHeight w:val="420"/>
        </w:trPr>
        <w:tc>
          <w:tcPr>
            <w:tcW w:w="9360" w:type="dxa"/>
            <w:gridSpan w:val="5"/>
          </w:tcPr>
          <w:p w14:paraId="5BA0AD6A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2. Student Context</w:t>
            </w:r>
          </w:p>
        </w:tc>
      </w:tr>
      <w:tr w:rsidR="00BC0C6D" w14:paraId="7F2746CF" w14:textId="77777777">
        <w:tc>
          <w:tcPr>
            <w:tcW w:w="1872" w:type="dxa"/>
          </w:tcPr>
          <w:p w14:paraId="5D5BBD1B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Category </w:t>
            </w:r>
          </w:p>
        </w:tc>
        <w:tc>
          <w:tcPr>
            <w:tcW w:w="1872" w:type="dxa"/>
          </w:tcPr>
          <w:p w14:paraId="237292B2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Exemplary</w:t>
            </w:r>
          </w:p>
          <w:p w14:paraId="7D7280FD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(3)</w:t>
            </w:r>
          </w:p>
        </w:tc>
        <w:tc>
          <w:tcPr>
            <w:tcW w:w="1872" w:type="dxa"/>
          </w:tcPr>
          <w:p w14:paraId="2CCB714F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Proficient</w:t>
            </w:r>
          </w:p>
          <w:p w14:paraId="13C69FDF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(2)</w:t>
            </w:r>
          </w:p>
        </w:tc>
        <w:tc>
          <w:tcPr>
            <w:tcW w:w="1872" w:type="dxa"/>
          </w:tcPr>
          <w:p w14:paraId="45EFDC05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Adequate </w:t>
            </w:r>
          </w:p>
          <w:p w14:paraId="1DD87386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(1)</w:t>
            </w:r>
          </w:p>
        </w:tc>
        <w:tc>
          <w:tcPr>
            <w:tcW w:w="1872" w:type="dxa"/>
          </w:tcPr>
          <w:p w14:paraId="13D4AF01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Insufficient </w:t>
            </w:r>
          </w:p>
          <w:p w14:paraId="614A6C3D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(0)</w:t>
            </w:r>
          </w:p>
        </w:tc>
      </w:tr>
      <w:tr w:rsidR="00BC0C6D" w14:paraId="5547C3E5" w14:textId="77777777">
        <w:tc>
          <w:tcPr>
            <w:tcW w:w="1872" w:type="dxa"/>
          </w:tcPr>
          <w:p w14:paraId="20D46D8F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Empowers and Provides Visibility for All </w:t>
            </w:r>
            <w:r>
              <w:rPr>
                <w:rFonts w:ascii="Century Gothic" w:eastAsia="Century Gothic" w:hAnsi="Century Gothic" w:cs="Century Gothic"/>
                <w:b/>
              </w:rPr>
              <w:lastRenderedPageBreak/>
              <w:t>Students</w:t>
            </w:r>
          </w:p>
        </w:tc>
        <w:tc>
          <w:tcPr>
            <w:tcW w:w="1872" w:type="dxa"/>
          </w:tcPr>
          <w:p w14:paraId="107BD241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Students see themselves in the data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through positive framing*. Includes details on data suppression*. </w:t>
            </w:r>
          </w:p>
        </w:tc>
        <w:tc>
          <w:tcPr>
            <w:tcW w:w="1872" w:type="dxa"/>
          </w:tcPr>
          <w:p w14:paraId="793DD024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Students see themselves in the data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through positive framing* or includes details on data suppression. </w:t>
            </w:r>
          </w:p>
        </w:tc>
        <w:tc>
          <w:tcPr>
            <w:tcW w:w="1872" w:type="dxa"/>
          </w:tcPr>
          <w:p w14:paraId="5366EEB0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Students learn about the dashboard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independent of their experiences. Does not include details on data suppression. </w:t>
            </w:r>
          </w:p>
        </w:tc>
        <w:tc>
          <w:tcPr>
            <w:tcW w:w="1872" w:type="dxa"/>
          </w:tcPr>
          <w:p w14:paraId="2EDFA849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Does not relate the dashboard to students.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Does not mention data suppression. </w:t>
            </w:r>
          </w:p>
        </w:tc>
      </w:tr>
      <w:tr w:rsidR="00BC0C6D" w14:paraId="01BBC6C1" w14:textId="77777777">
        <w:trPr>
          <w:trHeight w:val="3707"/>
        </w:trPr>
        <w:tc>
          <w:tcPr>
            <w:tcW w:w="1872" w:type="dxa"/>
          </w:tcPr>
          <w:p w14:paraId="3D331E0E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Inclusive of Student Backgrounds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</w:p>
        </w:tc>
        <w:tc>
          <w:tcPr>
            <w:tcW w:w="1872" w:type="dxa"/>
          </w:tcPr>
          <w:p w14:paraId="6D14CE35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313131"/>
              </w:rPr>
            </w:pPr>
            <w:r>
              <w:rPr>
                <w:rFonts w:ascii="Century Gothic" w:eastAsia="Century Gothic" w:hAnsi="Century Gothic" w:cs="Century Gothic"/>
                <w:color w:val="313131"/>
              </w:rPr>
              <w:t xml:space="preserve">Encourages students to consider academic and career interests. Student realities outside of school are included*. </w:t>
            </w:r>
          </w:p>
        </w:tc>
        <w:tc>
          <w:tcPr>
            <w:tcW w:w="1872" w:type="dxa"/>
          </w:tcPr>
          <w:p w14:paraId="5237C043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313131"/>
                <w:highlight w:val="white"/>
              </w:rPr>
              <w:t xml:space="preserve">Encourages students to consider academic and career interests </w:t>
            </w:r>
            <w:r>
              <w:rPr>
                <w:rFonts w:ascii="Century Gothic" w:eastAsia="Century Gothic" w:hAnsi="Century Gothic" w:cs="Century Gothic"/>
              </w:rPr>
              <w:t>or mentions student realities outside of school.</w:t>
            </w:r>
          </w:p>
          <w:p w14:paraId="3FD7B1AB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872" w:type="dxa"/>
          </w:tcPr>
          <w:p w14:paraId="50C7B31A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Mentions student interests. </w:t>
            </w:r>
          </w:p>
        </w:tc>
        <w:tc>
          <w:tcPr>
            <w:tcW w:w="1872" w:type="dxa"/>
          </w:tcPr>
          <w:p w14:paraId="182EDF50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Doesn’t mention student interests or student realities outside of school.</w:t>
            </w:r>
          </w:p>
          <w:p w14:paraId="5939C4FF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84748AD" w14:textId="77777777" w:rsidR="00BC0C6D" w:rsidRDefault="00BC0C6D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BC0C6D" w14:paraId="5E506D57" w14:textId="77777777">
        <w:tc>
          <w:tcPr>
            <w:tcW w:w="9360" w:type="dxa"/>
            <w:gridSpan w:val="5"/>
          </w:tcPr>
          <w:p w14:paraId="1BC48C8B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 xml:space="preserve">3. Learning Objectives and Outcomes Assessment </w:t>
            </w:r>
          </w:p>
        </w:tc>
      </w:tr>
      <w:tr w:rsidR="00BC0C6D" w14:paraId="5A0252AF" w14:textId="77777777">
        <w:tc>
          <w:tcPr>
            <w:tcW w:w="1872" w:type="dxa"/>
          </w:tcPr>
          <w:p w14:paraId="4E7F7FF7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Category </w:t>
            </w:r>
          </w:p>
        </w:tc>
        <w:tc>
          <w:tcPr>
            <w:tcW w:w="1872" w:type="dxa"/>
          </w:tcPr>
          <w:p w14:paraId="0C5D0D03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Exemplary</w:t>
            </w:r>
          </w:p>
          <w:p w14:paraId="68C8DD3E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(3)</w:t>
            </w:r>
          </w:p>
        </w:tc>
        <w:tc>
          <w:tcPr>
            <w:tcW w:w="1872" w:type="dxa"/>
          </w:tcPr>
          <w:p w14:paraId="7CDC735A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Proficient</w:t>
            </w:r>
          </w:p>
          <w:p w14:paraId="3042501D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(2)</w:t>
            </w:r>
          </w:p>
        </w:tc>
        <w:tc>
          <w:tcPr>
            <w:tcW w:w="1872" w:type="dxa"/>
          </w:tcPr>
          <w:p w14:paraId="7B082B25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Adequate </w:t>
            </w:r>
          </w:p>
          <w:p w14:paraId="036C16A4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(1)</w:t>
            </w:r>
          </w:p>
        </w:tc>
        <w:tc>
          <w:tcPr>
            <w:tcW w:w="1872" w:type="dxa"/>
          </w:tcPr>
          <w:p w14:paraId="64AD5024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Insufficient </w:t>
            </w:r>
          </w:p>
          <w:p w14:paraId="67E8689E" w14:textId="77777777" w:rsidR="00BC0C6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(0)</w:t>
            </w:r>
          </w:p>
        </w:tc>
      </w:tr>
      <w:tr w:rsidR="00BC0C6D" w14:paraId="52E592DF" w14:textId="77777777">
        <w:tc>
          <w:tcPr>
            <w:tcW w:w="1872" w:type="dxa"/>
          </w:tcPr>
          <w:p w14:paraId="262AE2E3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I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ncludes Learning Objectives and </w:t>
            </w:r>
          </w:p>
          <w:p w14:paraId="564ED3BD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Incorporates Data literacy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872" w:type="dxa"/>
          </w:tcPr>
          <w:p w14:paraId="291DD91F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</w:rPr>
              <w:t>Objectives are measurable*, align with the lesson plan, and include expanding data literacy*.</w:t>
            </w:r>
          </w:p>
        </w:tc>
        <w:tc>
          <w:tcPr>
            <w:tcW w:w="1872" w:type="dxa"/>
          </w:tcPr>
          <w:p w14:paraId="791F3D78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Objectives are measurable and align with the lesson plan. Does not mention data literacy. </w:t>
            </w:r>
          </w:p>
        </w:tc>
        <w:tc>
          <w:tcPr>
            <w:tcW w:w="1872" w:type="dxa"/>
          </w:tcPr>
          <w:p w14:paraId="3E86222D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Objectives are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included, but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are not measurable.  </w:t>
            </w:r>
          </w:p>
        </w:tc>
        <w:tc>
          <w:tcPr>
            <w:tcW w:w="1872" w:type="dxa"/>
          </w:tcPr>
          <w:p w14:paraId="3AD9DC4F" w14:textId="77777777" w:rsidR="00BC0C6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Does not include objectives.</w:t>
            </w:r>
          </w:p>
        </w:tc>
      </w:tr>
    </w:tbl>
    <w:p w14:paraId="4C405C7D" w14:textId="77777777" w:rsidR="00BC0C6D" w:rsidRDefault="00BC0C6D">
      <w:pPr>
        <w:rPr>
          <w:rFonts w:ascii="Century Gothic" w:eastAsia="Century Gothic" w:hAnsi="Century Gothic" w:cs="Century Gothic"/>
        </w:rPr>
      </w:pPr>
    </w:p>
    <w:p w14:paraId="5C28FB54" w14:textId="77777777" w:rsidR="00BC0C6D" w:rsidRDefault="00BC0C6D">
      <w:pPr>
        <w:rPr>
          <w:rFonts w:ascii="Century Gothic" w:eastAsia="Century Gothic" w:hAnsi="Century Gothic" w:cs="Century Gothic"/>
        </w:rPr>
      </w:pPr>
    </w:p>
    <w:p w14:paraId="2B3EB024" w14:textId="77777777" w:rsidR="00BC0C6D" w:rsidRDefault="00000000" w:rsidP="005D36A7">
      <w:pPr>
        <w:pStyle w:val="Heading2"/>
      </w:pPr>
      <w:r>
        <w:t xml:space="preserve">Total Score: 15 </w:t>
      </w:r>
      <w:r w:rsidRPr="005D36A7">
        <w:t>points</w:t>
      </w:r>
      <w:r>
        <w:t xml:space="preserve"> </w:t>
      </w:r>
    </w:p>
    <w:p w14:paraId="1EF81AC4" w14:textId="77777777" w:rsidR="00BC0C6D" w:rsidRDefault="00000000" w:rsidP="005D36A7">
      <w:pPr>
        <w:pStyle w:val="Heading2"/>
      </w:pPr>
      <w:r w:rsidRPr="005D36A7">
        <w:t>Extra</w:t>
      </w:r>
      <w:r>
        <w:t xml:space="preserve"> Credit: </w:t>
      </w:r>
    </w:p>
    <w:p w14:paraId="19AC9DCD" w14:textId="1C077E6D" w:rsidR="00BC0C6D" w:rsidRPr="005D36A7" w:rsidRDefault="00000000" w:rsidP="005D36A7">
      <w:pPr>
        <w:pStyle w:val="Heading2"/>
        <w:sectPr w:rsidR="00BC0C6D" w:rsidRPr="005D36A7">
          <w:head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t xml:space="preserve">1 point per </w:t>
      </w:r>
      <w:r w:rsidRPr="005D36A7">
        <w:t>supplemental</w:t>
      </w:r>
      <w:r>
        <w:t xml:space="preserve"> materials* </w:t>
      </w:r>
      <w:r>
        <w:br w:type="page"/>
      </w:r>
    </w:p>
    <w:p w14:paraId="27B0DB4C" w14:textId="77777777" w:rsidR="00BC0C6D" w:rsidRDefault="00000000" w:rsidP="005D36A7">
      <w:pPr>
        <w:pStyle w:val="Heading1"/>
      </w:pPr>
      <w:bookmarkStart w:id="2" w:name="_u8ycyil1i9gl" w:colFirst="0" w:colLast="0"/>
      <w:bookmarkStart w:id="3" w:name="_xexxc4bnspd3" w:colFirst="0" w:colLast="0"/>
      <w:bookmarkEnd w:id="2"/>
      <w:bookmarkEnd w:id="3"/>
      <w:r>
        <w:lastRenderedPageBreak/>
        <w:t xml:space="preserve">Lesson Plan </w:t>
      </w:r>
      <w:r w:rsidRPr="005D36A7">
        <w:t>Challenge</w:t>
      </w:r>
      <w:r>
        <w:t xml:space="preserve"> Rubric Legend </w:t>
      </w:r>
    </w:p>
    <w:p w14:paraId="46D9AABB" w14:textId="77777777" w:rsidR="00BC0C6D" w:rsidRDefault="00BC0C6D">
      <w:pPr>
        <w:rPr>
          <w:rFonts w:ascii="Century Gothic" w:eastAsia="Century Gothic" w:hAnsi="Century Gothic" w:cs="Century Gothic"/>
        </w:rPr>
      </w:pPr>
    </w:p>
    <w:p w14:paraId="2777A3A6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Dashboard features:</w:t>
      </w:r>
      <w:r>
        <w:rPr>
          <w:rFonts w:ascii="Century Gothic" w:eastAsia="Century Gothic" w:hAnsi="Century Gothic" w:cs="Century Gothic"/>
        </w:rPr>
        <w:t xml:space="preserve"> Any filters applied to the dashboard visualizations, “how do I read this chart” pop out box, information circles </w:t>
      </w:r>
    </w:p>
    <w:p w14:paraId="33CDD75F" w14:textId="45EF89A5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Dashboard resources:</w:t>
      </w:r>
      <w:r>
        <w:rPr>
          <w:rFonts w:ascii="Century Gothic" w:eastAsia="Century Gothic" w:hAnsi="Century Gothic" w:cs="Century Gothic"/>
        </w:rPr>
        <w:t xml:space="preserve"> Includes dashboard companion materials such as data definitions and dictionary, student stor</w:t>
      </w:r>
      <w:r w:rsidR="005D36A7">
        <w:rPr>
          <w:rFonts w:ascii="Century Gothic" w:eastAsia="Century Gothic" w:hAnsi="Century Gothic" w:cs="Century Gothic"/>
        </w:rPr>
        <w:t>ies</w:t>
      </w:r>
      <w:r>
        <w:rPr>
          <w:rFonts w:ascii="Century Gothic" w:eastAsia="Century Gothic" w:hAnsi="Century Gothic" w:cs="Century Gothic"/>
        </w:rPr>
        <w:t xml:space="preserve"> </w:t>
      </w:r>
      <w:r w:rsidR="005D36A7">
        <w:rPr>
          <w:rFonts w:ascii="Century Gothic" w:eastAsia="Century Gothic" w:hAnsi="Century Gothic" w:cs="Century Gothic"/>
        </w:rPr>
        <w:t>content</w:t>
      </w:r>
      <w:r>
        <w:rPr>
          <w:rFonts w:ascii="Century Gothic" w:eastAsia="Century Gothic" w:hAnsi="Century Gothic" w:cs="Century Gothic"/>
        </w:rPr>
        <w:t xml:space="preserve">, </w:t>
      </w:r>
      <w:r w:rsidR="005D36A7">
        <w:rPr>
          <w:rFonts w:ascii="Century Gothic" w:eastAsia="Century Gothic" w:hAnsi="Century Gothic" w:cs="Century Gothic"/>
        </w:rPr>
        <w:t>YouTube</w:t>
      </w:r>
      <w:r>
        <w:rPr>
          <w:rFonts w:ascii="Century Gothic" w:eastAsia="Century Gothic" w:hAnsi="Century Gothic" w:cs="Century Gothic"/>
        </w:rPr>
        <w:t xml:space="preserve"> video., “Data points and sources used for this story”, etc. </w:t>
      </w:r>
    </w:p>
    <w:p w14:paraId="7ACC1699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Measurable objectives: </w:t>
      </w:r>
      <w:r>
        <w:rPr>
          <w:rFonts w:ascii="Century Gothic" w:eastAsia="Century Gothic" w:hAnsi="Century Gothic" w:cs="Century Gothic"/>
        </w:rPr>
        <w:t xml:space="preserve">An evident connection between student objectives, activities, and assessments. (insert link) </w:t>
      </w:r>
    </w:p>
    <w:p w14:paraId="028BE98A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Data literacy:</w:t>
      </w:r>
      <w:r>
        <w:rPr>
          <w:rFonts w:ascii="Century Gothic" w:eastAsia="Century Gothic" w:hAnsi="Century Gothic" w:cs="Century Gothic"/>
        </w:rPr>
        <w:t xml:space="preserve"> “The ability to use an inquiry process to extract answers to real-world questions from data sets”. See </w:t>
      </w:r>
      <w:r>
        <w:rPr>
          <w:rFonts w:ascii="Century Gothic" w:eastAsia="Century Gothic" w:hAnsi="Century Gothic" w:cs="Century Gothic"/>
          <w:i/>
        </w:rPr>
        <w:t>K-12 Mathematics Framework for California Public Schools</w:t>
      </w:r>
      <w:r>
        <w:rPr>
          <w:rFonts w:ascii="Century Gothic" w:eastAsia="Century Gothic" w:hAnsi="Century Gothic" w:cs="Century Gothic"/>
        </w:rPr>
        <w:t xml:space="preserve"> </w:t>
      </w:r>
      <w:hyperlink r:id="rId9">
        <w:r>
          <w:rPr>
            <w:rFonts w:ascii="Century Gothic" w:eastAsia="Century Gothic" w:hAnsi="Century Gothic" w:cs="Century Gothic"/>
            <w:color w:val="1155CC"/>
            <w:u w:val="single"/>
          </w:rPr>
          <w:t>here</w:t>
        </w:r>
      </w:hyperlink>
      <w:r>
        <w:rPr>
          <w:rFonts w:ascii="Century Gothic" w:eastAsia="Century Gothic" w:hAnsi="Century Gothic" w:cs="Century Gothic"/>
        </w:rPr>
        <w:t xml:space="preserve"> for more information. </w:t>
      </w:r>
    </w:p>
    <w:p w14:paraId="4C8B13A5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Positive framing: </w:t>
      </w:r>
      <w:r>
        <w:rPr>
          <w:rFonts w:ascii="Century Gothic" w:eastAsia="Century Gothic" w:hAnsi="Century Gothic" w:cs="Century Gothic"/>
        </w:rPr>
        <w:t xml:space="preserve">Recognizes all students have strengths and are capable of being </w:t>
      </w:r>
      <w:proofErr w:type="gramStart"/>
      <w:r>
        <w:rPr>
          <w:rFonts w:ascii="Century Gothic" w:eastAsia="Century Gothic" w:hAnsi="Century Gothic" w:cs="Century Gothic"/>
        </w:rPr>
        <w:t>high-achievers</w:t>
      </w:r>
      <w:proofErr w:type="gramEnd"/>
      <w:r>
        <w:rPr>
          <w:rFonts w:ascii="Century Gothic" w:eastAsia="Century Gothic" w:hAnsi="Century Gothic" w:cs="Century Gothic"/>
        </w:rPr>
        <w:t xml:space="preserve">. Asset-based framing resources </w:t>
      </w:r>
      <w:hyperlink r:id="rId10">
        <w:r>
          <w:rPr>
            <w:rFonts w:ascii="Century Gothic" w:eastAsia="Century Gothic" w:hAnsi="Century Gothic" w:cs="Century Gothic"/>
            <w:color w:val="1155CC"/>
            <w:u w:val="single"/>
          </w:rPr>
          <w:t>here</w:t>
        </w:r>
      </w:hyperlink>
      <w:r>
        <w:rPr>
          <w:rFonts w:ascii="Century Gothic" w:eastAsia="Century Gothic" w:hAnsi="Century Gothic" w:cs="Century Gothic"/>
        </w:rPr>
        <w:t xml:space="preserve">. </w:t>
      </w:r>
    </w:p>
    <w:p w14:paraId="0E7D89D9" w14:textId="77777777" w:rsidR="00BC0C6D" w:rsidRDefault="00000000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Data suppression: </w:t>
      </w:r>
    </w:p>
    <w:p w14:paraId="011DF957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Student realities outside the classroom: </w:t>
      </w:r>
      <w:r>
        <w:rPr>
          <w:rFonts w:ascii="Century Gothic" w:eastAsia="Century Gothic" w:hAnsi="Century Gothic" w:cs="Century Gothic"/>
        </w:rPr>
        <w:t xml:space="preserve">Educators consider how students' lives, experiences, and communities shape how they learn. You can find tools to help design an inclusive learning experience </w:t>
      </w:r>
      <w:hyperlink r:id="rId11" w:anchor=":~:text=Literacy%20Content%20Blocks%20are%20a,ELA%20and%20other%20content%20areas.">
        <w:r>
          <w:rPr>
            <w:rFonts w:ascii="Century Gothic" w:eastAsia="Century Gothic" w:hAnsi="Century Gothic" w:cs="Century Gothic"/>
            <w:color w:val="1155CC"/>
            <w:u w:val="single"/>
          </w:rPr>
          <w:t>here</w:t>
        </w:r>
      </w:hyperlink>
      <w:r>
        <w:rPr>
          <w:rFonts w:ascii="Century Gothic" w:eastAsia="Century Gothic" w:hAnsi="Century Gothic" w:cs="Century Gothic"/>
        </w:rPr>
        <w:t xml:space="preserve">. </w:t>
      </w:r>
    </w:p>
    <w:p w14:paraId="75F33839" w14:textId="77777777" w:rsidR="00BC0C6D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Supplemental materials:</w:t>
      </w:r>
      <w:r>
        <w:rPr>
          <w:rFonts w:ascii="Century Gothic" w:eastAsia="Century Gothic" w:hAnsi="Century Gothic" w:cs="Century Gothic"/>
        </w:rPr>
        <w:t xml:space="preserve"> PowerPoint Slides, handouts, visuals, any additional resources you create to support student learning. </w:t>
      </w:r>
    </w:p>
    <w:sectPr w:rsidR="00BC0C6D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47546" w14:textId="77777777" w:rsidR="001378DD" w:rsidRDefault="001378DD">
      <w:pPr>
        <w:spacing w:line="240" w:lineRule="auto"/>
      </w:pPr>
      <w:r>
        <w:separator/>
      </w:r>
    </w:p>
  </w:endnote>
  <w:endnote w:type="continuationSeparator" w:id="0">
    <w:p w14:paraId="1CAF9B91" w14:textId="77777777" w:rsidR="001378DD" w:rsidRDefault="00137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BEB158-195F-AE41-927A-40FD184282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52A3DB7-ECA8-8C4A-81AF-E9BAE0D59D16}"/>
    <w:embedItalic r:id="rId3" w:fontKey="{F992FB9B-D65F-7141-85C5-C06D283410D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78ECD66-E710-244B-B74B-0423A414848F}"/>
    <w:embedBold r:id="rId5" w:fontKey="{9AC17265-FA39-C440-B8C3-4D542348E4B3}"/>
    <w:embedItalic r:id="rId6" w:fontKey="{481DC0B5-F6DE-0245-BFB9-DF0E0D605E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4AD7403-78C7-734B-9802-4F58321C9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8EBB8E-E9F2-DF47-B376-D3614649D7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6DA52" w14:textId="77777777" w:rsidR="001378DD" w:rsidRDefault="001378DD">
      <w:pPr>
        <w:spacing w:line="240" w:lineRule="auto"/>
      </w:pPr>
      <w:r>
        <w:separator/>
      </w:r>
    </w:p>
  </w:footnote>
  <w:footnote w:type="continuationSeparator" w:id="0">
    <w:p w14:paraId="66F3A145" w14:textId="77777777" w:rsidR="001378DD" w:rsidRDefault="00137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74106" w14:textId="77777777" w:rsidR="00BC0C6D" w:rsidRDefault="00000000">
    <w:pPr>
      <w:widowControl w:val="0"/>
      <w:spacing w:line="240" w:lineRule="auto"/>
      <w:ind w:right="2555"/>
      <w:jc w:val="right"/>
    </w:pPr>
    <w:r>
      <w:rPr>
        <w:noProof/>
      </w:rPr>
      <w:drawing>
        <wp:inline distT="19050" distB="19050" distL="19050" distR="19050" wp14:anchorId="5E1B86F5" wp14:editId="61154356">
          <wp:extent cx="4424363" cy="1352550"/>
          <wp:effectExtent l="0" t="0" r="0" b="0"/>
          <wp:docPr id="20376255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24363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DF33" w14:textId="77777777" w:rsidR="00BC0C6D" w:rsidRDefault="00000000">
    <w:pPr>
      <w:widowControl w:val="0"/>
      <w:spacing w:line="240" w:lineRule="auto"/>
      <w:ind w:right="2555"/>
      <w:jc w:val="right"/>
    </w:pPr>
    <w:r>
      <w:rPr>
        <w:noProof/>
      </w:rPr>
      <w:drawing>
        <wp:inline distT="19050" distB="19050" distL="19050" distR="19050" wp14:anchorId="07C52E63" wp14:editId="32912DE9">
          <wp:extent cx="4424363" cy="1352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24363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F55C6"/>
    <w:multiLevelType w:val="multilevel"/>
    <w:tmpl w:val="C824C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E3031F"/>
    <w:multiLevelType w:val="multilevel"/>
    <w:tmpl w:val="3C1C8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9417E7"/>
    <w:multiLevelType w:val="multilevel"/>
    <w:tmpl w:val="8950235C"/>
    <w:lvl w:ilvl="0">
      <w:start w:val="1"/>
      <w:numFmt w:val="bullet"/>
      <w:pStyle w:val="Heading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1D5343"/>
    <w:multiLevelType w:val="multilevel"/>
    <w:tmpl w:val="A00A0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3470E7"/>
    <w:multiLevelType w:val="multilevel"/>
    <w:tmpl w:val="2BF239CA"/>
    <w:lvl w:ilvl="0">
      <w:start w:val="1"/>
      <w:numFmt w:val="bullet"/>
      <w:pStyle w:val="Heading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05AB6"/>
    <w:multiLevelType w:val="multilevel"/>
    <w:tmpl w:val="9C9C7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4678364">
    <w:abstractNumId w:val="5"/>
  </w:num>
  <w:num w:numId="2" w16cid:durableId="1497651457">
    <w:abstractNumId w:val="3"/>
  </w:num>
  <w:num w:numId="3" w16cid:durableId="1753163172">
    <w:abstractNumId w:val="1"/>
  </w:num>
  <w:num w:numId="4" w16cid:durableId="422799340">
    <w:abstractNumId w:val="4"/>
  </w:num>
  <w:num w:numId="5" w16cid:durableId="1934195880">
    <w:abstractNumId w:val="2"/>
  </w:num>
  <w:num w:numId="6" w16cid:durableId="498009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C6D"/>
    <w:rsid w:val="001378DD"/>
    <w:rsid w:val="00304C80"/>
    <w:rsid w:val="005D36A7"/>
    <w:rsid w:val="00BC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7FF2F"/>
  <w15:docId w15:val="{DD7E953F-3045-8A4F-8D97-F0409855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D36A7"/>
    <w:pPr>
      <w:keepNext/>
      <w:keepLines/>
      <w:spacing w:before="400" w:after="120"/>
      <w:jc w:val="center"/>
      <w:outlineLvl w:val="0"/>
    </w:pPr>
    <w:rPr>
      <w:rFonts w:ascii="Century Gothic" w:eastAsia="Century Gothic" w:hAnsi="Century Gothic" w:cs="Century Gothic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5D36A7"/>
    <w:pPr>
      <w:numPr>
        <w:numId w:val="5"/>
      </w:numPr>
      <w:outlineLvl w:val="1"/>
    </w:pPr>
    <w:rPr>
      <w:rFonts w:ascii="Century Gothic" w:eastAsia="Century Gothic" w:hAnsi="Century Gothic" w:cs="Century Gothic"/>
      <w:b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rsid w:val="005D36A7"/>
    <w:pPr>
      <w:numPr>
        <w:numId w:val="4"/>
      </w:numPr>
      <w:outlineLvl w:val="2"/>
    </w:pPr>
    <w:rPr>
      <w:rFonts w:ascii="Century Gothic" w:eastAsia="Century Gothic" w:hAnsi="Century Gothic" w:cs="Century Gothic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e.ca.gov/ci/cl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de.ca.gov/ci/pl/assetbasedpedagogies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e.ca.gov/ci/ma/cf/documents/mathframeworkch5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AD3D33-DDE8-8C40-B364-59B207B22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Palomar, Angelique@C2C</cp:lastModifiedBy>
  <cp:revision>2</cp:revision>
  <dcterms:created xsi:type="dcterms:W3CDTF">2025-09-24T17:48:00Z</dcterms:created>
  <dcterms:modified xsi:type="dcterms:W3CDTF">2025-09-24T17:54:00Z</dcterms:modified>
</cp:coreProperties>
</file>