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320" w:before="0" w:lineRule="auto"/>
        <w:jc w:val="center"/>
        <w:rPr>
          <w:rFonts w:ascii="Century Gothic" w:cs="Century Gothic" w:eastAsia="Century Gothic" w:hAnsi="Century Gothic"/>
          <w:b w:val="1"/>
          <w:bCs w:val="1"/>
          <w:color w:val="547ac7"/>
          <w:sz w:val="34"/>
          <w:szCs w:val="34"/>
        </w:rPr>
      </w:pPr>
      <w:bookmarkStart w:colFirst="0" w:colLast="0" w:name="_3ibx3wa97ae6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  <w:rtl w:val="0"/>
        </w:rPr>
        <w:t xml:space="preserve">Cradle-to-Career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800100</wp:posOffset>
            </wp:positionH>
            <wp:positionV relativeFrom="page">
              <wp:posOffset>1190625</wp:posOffset>
            </wp:positionV>
            <wp:extent cx="2984500" cy="98488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9848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  <w:rtl w:val="0"/>
        </w:rPr>
        <w:t xml:space="preserve">Community Engagement Advisory Board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47ac7"/>
          <w:sz w:val="34"/>
          <w:szCs w:val="3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  <w:rtl w:val="0"/>
        </w:rPr>
        <w:t xml:space="preserve">Public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f36f03"/>
          <w:sz w:val="34"/>
          <w:szCs w:val="34"/>
          <w:rtl w:val="0"/>
        </w:rPr>
        <w:t xml:space="preserve"> Proposal Form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547ac7"/>
          <w:sz w:val="34"/>
          <w:szCs w:val="3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jnks4uk403oc" w:id="1"/>
      <w:bookmarkEnd w:id="1"/>
      <w:r w:rsidDel="00000000" w:rsidR="00000000" w:rsidRPr="00000000">
        <w:rPr>
          <w:color w:val="547ac7"/>
          <w:u w:val="single"/>
          <w:rtl w:val="0"/>
        </w:rPr>
        <w:t xml:space="preserve">Instructions: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Per the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Governance Manual</w:t>
        </w:r>
      </w:hyperlink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proposal forms submitted will address significant gaps regarding feedback loops with data users, evidence-based decision making and analytical capacity, and equitable access to actionable information. Please note there should only be one proposal per 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g2gzj4lnqy85" w:id="2"/>
      <w:bookmarkEnd w:id="2"/>
      <w:r w:rsidDel="00000000" w:rsidR="00000000" w:rsidRPr="00000000">
        <w:rPr>
          <w:rtl w:val="0"/>
        </w:rPr>
        <w:t xml:space="preserve">Name: 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2"/>
        <w:rPr>
          <w:i w:val="1"/>
          <w:iCs w:val="1"/>
        </w:rPr>
      </w:pPr>
      <w:bookmarkStart w:colFirst="0" w:colLast="0" w:name="_qaxkxwqumuwu" w:id="3"/>
      <w:bookmarkEnd w:id="3"/>
      <w:r w:rsidDel="00000000" w:rsidR="00000000" w:rsidRPr="00000000">
        <w:rPr>
          <w:color w:val="4e73b8"/>
          <w:u w:val="single"/>
          <w:rtl w:val="0"/>
        </w:rPr>
        <w:t xml:space="preserve">Proposal Title</w:t>
      </w:r>
      <w:r w:rsidDel="00000000" w:rsidR="00000000" w:rsidRPr="00000000">
        <w:rPr>
          <w:color w:val="4e73b8"/>
          <w:rtl w:val="0"/>
        </w:rPr>
        <w:t xml:space="preserve">: </w:t>
      </w:r>
      <w:r w:rsidDel="00000000" w:rsidR="00000000" w:rsidRPr="00000000">
        <w:rPr>
          <w:i w:val="1"/>
          <w:iCs w:val="1"/>
          <w:rtl w:val="0"/>
        </w:rPr>
        <w:t xml:space="preserve">no more than 50 characters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By checking this box, I understand that if a Community Engagement Advisory Board member sponsors my proposal, it will be considered as a submission from the Community Engagement Advisory Board member.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ewackefz0kdk" w:id="4"/>
      <w:bookmarkEnd w:id="4"/>
      <w:r w:rsidDel="00000000" w:rsidR="00000000" w:rsidRPr="00000000">
        <w:rPr>
          <w:color w:val="4e73b8"/>
          <w:rtl w:val="0"/>
        </w:rPr>
        <w:t xml:space="preserve">Nature of Proposal: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Feedback loops with data users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Evidence-based decision-making and analytical capacity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lineRule="auto"/>
        <w:ind w:left="72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Equitable access to actionable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What action should be taken to address the issue?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50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Who could benefit from this action?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before="24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Who would implement this action? 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24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How does the action relate to the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4"/>
            <w:szCs w:val="24"/>
            <w:u w:val="single"/>
            <w:rtl w:val="0"/>
          </w:rPr>
          <w:t xml:space="preserve">mission and vision</w:t>
        </w:r>
      </w:hyperlink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of C2C? 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right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left"/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Public Submission</w:t>
      <w:tab/>
      <w:tab/>
      <w:tab/>
      <w:tab/>
      <w:tab/>
      <w:tab/>
      <w:tab/>
      <w:tab/>
      <w:tab/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rFonts w:ascii="Century Gothic" w:cs="Century Gothic" w:eastAsia="Century Gothic" w:hAnsi="Century Gothic"/>
      </w:rPr>
    </w:pPr>
    <w:r w:rsidDel="00000000" w:rsidR="00000000" w:rsidRPr="00000000">
      <w:rPr>
        <w:rFonts w:ascii="Century Gothic" w:cs="Century Gothic" w:eastAsia="Century Gothic" w:hAnsi="Century Gothic"/>
        <w:rtl w:val="0"/>
      </w:rPr>
      <w:t xml:space="preserve">Public Submission</w:t>
      <w:tab/>
      <w:tab/>
      <w:tab/>
      <w:tab/>
      <w:tab/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left"/>
      <w:rPr>
        <w:rFonts w:ascii="Century Gothic" w:cs="Century Gothic" w:eastAsia="Century Gothic" w:hAnsi="Century Gothic"/>
        <w:b w:val="1"/>
        <w:bCs w:val="1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color w:val="4e73b8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c2c.ca.gov/wp-content/uploads/2026/03/2026-Governance-Manual-C2C.pdf" TargetMode="External"/><Relationship Id="rId8" Type="http://schemas.openxmlformats.org/officeDocument/2006/relationships/hyperlink" Target="https://c2c.ca.gov/mission-vis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